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eastAsia="黑体"/>
          <w:color w:val="000000" w:themeColor="text1"/>
          <w:sz w:val="32"/>
          <w:szCs w:val="32"/>
        </w:rPr>
      </w:pPr>
      <w:r>
        <w:rPr>
          <w:rFonts w:hint="eastAsia" w:ascii="黑体" w:eastAsia="黑体"/>
          <w:color w:val="000000" w:themeColor="text1"/>
          <w:sz w:val="32"/>
          <w:szCs w:val="32"/>
        </w:rPr>
        <w:t>说明1</w:t>
      </w:r>
    </w:p>
    <w:p>
      <w:pPr>
        <w:spacing w:line="620" w:lineRule="exact"/>
        <w:jc w:val="center"/>
        <w:rPr>
          <w:rFonts w:ascii="黑体" w:eastAsia="黑体"/>
          <w:color w:val="000000" w:themeColor="text1"/>
          <w:sz w:val="36"/>
          <w:szCs w:val="36"/>
        </w:rPr>
      </w:pPr>
    </w:p>
    <w:p>
      <w:pPr>
        <w:spacing w:line="620" w:lineRule="exact"/>
        <w:jc w:val="center"/>
        <w:rPr>
          <w:rFonts w:ascii="黑体" w:eastAsia="黑体"/>
          <w:color w:val="000000" w:themeColor="text1"/>
          <w:sz w:val="36"/>
          <w:szCs w:val="36"/>
        </w:rPr>
      </w:pPr>
      <w:r>
        <w:rPr>
          <w:rFonts w:hint="eastAsia" w:ascii="黑体" w:eastAsia="黑体"/>
          <w:color w:val="000000" w:themeColor="text1"/>
          <w:sz w:val="36"/>
          <w:szCs w:val="36"/>
        </w:rPr>
        <w:t>关于202</w:t>
      </w:r>
      <w:r>
        <w:rPr>
          <w:rFonts w:hint="eastAsia" w:ascii="黑体" w:eastAsia="黑体"/>
          <w:color w:val="000000" w:themeColor="text1"/>
          <w:sz w:val="36"/>
          <w:szCs w:val="36"/>
          <w:lang w:val="en-US" w:eastAsia="zh-CN"/>
        </w:rPr>
        <w:t>3</w:t>
      </w:r>
      <w:r>
        <w:rPr>
          <w:rFonts w:hint="eastAsia" w:ascii="黑体" w:eastAsia="黑体"/>
          <w:color w:val="000000" w:themeColor="text1"/>
          <w:sz w:val="36"/>
          <w:szCs w:val="36"/>
        </w:rPr>
        <w:t>年一般公共预算执行情况的说明</w:t>
      </w:r>
    </w:p>
    <w:p>
      <w:pPr>
        <w:spacing w:line="620" w:lineRule="exact"/>
        <w:ind w:firstLine="640" w:firstLineChars="200"/>
        <w:rPr>
          <w:rFonts w:ascii="仿宋_GB2312" w:eastAsia="仿宋_GB2312"/>
          <w:color w:val="000000" w:themeColor="text1"/>
          <w:sz w:val="32"/>
          <w:szCs w:val="32"/>
        </w:rPr>
      </w:pPr>
    </w:p>
    <w:p>
      <w:pPr>
        <w:overflowPunct w:val="0"/>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2023年，在区委的正确领导下，在区人大、区政协的监督支持下，全区财政工作认真贯彻落实党的二十大和中、省、市财政工作会议精神，坚持稳中求进工作总基调，深化财政改革，充分发挥“收、支、管、调、防”职能作用，推进绩效管理，全力保障和改善民生，各项财政工作目标圆满完成，促进了全区经济社会持续平稳健康发展。</w:t>
      </w:r>
    </w:p>
    <w:p>
      <w:pPr>
        <w:overflowPunct w:val="0"/>
        <w:spacing w:line="560" w:lineRule="exact"/>
        <w:ind w:firstLine="640" w:firstLineChars="200"/>
        <w:rPr>
          <w:rFonts w:ascii="Times New Roman" w:hAnsi="Times New Roman" w:eastAsia="楷体_GB2312" w:cs="Times New Roman"/>
          <w:color w:val="000000" w:themeColor="text1"/>
          <w:sz w:val="32"/>
          <w:szCs w:val="32"/>
        </w:rPr>
      </w:pPr>
      <w:r>
        <w:rPr>
          <w:rFonts w:ascii="Times New Roman" w:hAnsi="Times New Roman" w:eastAsia="楷体_GB2312" w:cs="Times New Roman"/>
          <w:color w:val="000000" w:themeColor="text1"/>
          <w:sz w:val="32"/>
          <w:szCs w:val="32"/>
        </w:rPr>
        <w:t>（一）辖区财政总收入</w:t>
      </w:r>
    </w:p>
    <w:p>
      <w:pPr>
        <w:tabs>
          <w:tab w:val="left" w:pos="5648"/>
        </w:tabs>
        <w:overflowPunct w:val="0"/>
        <w:spacing w:line="560"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2023年，辖区财政总收入完成794029万元。其中：中央级收入601572万元，省级收入39609万元，市级收入92557万元，区级收入60291万元。</w:t>
      </w:r>
    </w:p>
    <w:p>
      <w:pPr>
        <w:numPr>
          <w:ilvl w:val="0"/>
          <w:numId w:val="1"/>
        </w:numPr>
        <w:tabs>
          <w:tab w:val="left" w:pos="5648"/>
        </w:tabs>
        <w:overflowPunct w:val="0"/>
        <w:spacing w:line="560" w:lineRule="exact"/>
        <w:ind w:firstLine="640" w:firstLineChars="200"/>
        <w:rPr>
          <w:rFonts w:ascii="Times New Roman" w:hAnsi="Times New Roman" w:eastAsia="楷体_GB2312" w:cs="Times New Roman"/>
          <w:color w:val="000000" w:themeColor="text1"/>
          <w:sz w:val="32"/>
          <w:szCs w:val="32"/>
        </w:rPr>
      </w:pPr>
      <w:r>
        <w:rPr>
          <w:rFonts w:ascii="Times New Roman" w:hAnsi="Times New Roman" w:eastAsia="楷体_GB2312" w:cs="Times New Roman"/>
          <w:color w:val="000000" w:themeColor="text1"/>
          <w:sz w:val="32"/>
          <w:szCs w:val="32"/>
        </w:rPr>
        <w:t>一般公共预算执行情况</w:t>
      </w:r>
    </w:p>
    <w:p>
      <w:pPr>
        <w:tabs>
          <w:tab w:val="left" w:pos="5648"/>
        </w:tabs>
        <w:overflowPunct w:val="0"/>
        <w:spacing w:line="560"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2023年，一般公共预算区级收入完成60291万元，增长26.4%，超收11291万元。其中：税收收入34057万元，非税收入26234万元，税收收入占一般公共预算收入56.49%。</w:t>
      </w:r>
    </w:p>
    <w:p>
      <w:pPr>
        <w:tabs>
          <w:tab w:val="left" w:pos="5648"/>
        </w:tabs>
        <w:overflowPunct w:val="0"/>
        <w:spacing w:line="560"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支出方面：一般公共预算支出完成188958万元，占预算的99.98%。按照主要支出科目划分：①一般公共服务支出23405万元，占预算的97.44%；②公共安全支出1926万元，占预算的113.56%；③教育支出37522万元，占预算的96.68%；④科学技术支出426万元，占预算的116.39%；⑤文化旅游体育与传媒支出2492万元，占预算的104.4%；⑥社会保障和就业支出37769万元，占预算的95.43%；⑦卫生健康支出23018万元，占预算的109.45%；⑧节能环保支出7089万元，占预算的88.39%；⑨城乡社区支出5827万元，占预算的103.37%；⑩农林水支出4732万元，占预算的113.42%；⑪资源勘探工业信息等支出4253万元，占预算的114.7%；⑫灾害防治及应急管理支出1418万元，占预算的104.11%；⑬住房保障支出36474万元，占预算的102.22%；⑭商业服务业等支出1008万元，占预算的86.97%；⑮粮油物资储备支出103万元，占预算的100%；⑯自然资源海洋气象等支出50万元，占预算的100%；⑰债务付息支出1071万元，占预算的97.36%；⑱债务发行费用支出10万元。</w:t>
      </w:r>
    </w:p>
    <w:p>
      <w:pPr>
        <w:tabs>
          <w:tab w:val="left" w:pos="5648"/>
        </w:tabs>
        <w:overflowPunct w:val="0"/>
        <w:spacing w:line="560" w:lineRule="exact"/>
        <w:ind w:firstLine="640" w:firstLineChars="200"/>
        <w:rPr>
          <w:rFonts w:ascii="黑体" w:eastAsia="黑体"/>
          <w:color w:val="000000" w:themeColor="text1"/>
          <w:sz w:val="32"/>
          <w:szCs w:val="32"/>
        </w:rPr>
      </w:pPr>
      <w:r>
        <w:rPr>
          <w:rFonts w:hint="eastAsia" w:ascii="Times New Roman" w:hAnsi="Times New Roman" w:eastAsia="仿宋_GB2312" w:cs="Times New Roman"/>
          <w:color w:val="000000" w:themeColor="text1"/>
          <w:sz w:val="32"/>
          <w:szCs w:val="32"/>
        </w:rPr>
        <w:t>2023年，全区一般公共预算区级收入完成60291万元，加上上级补助收入预计109554万元，政府债券转贷收入9375万元和上年结转37088万元，调入资金2921万元，动用预算稳定调节基金2607万元，财政收入总计221836万元。一般公共预算支出完成188958万元，上解上级支出预计10727万元，政府债券还本支出4500万元，安排预算稳定调节基金11291万元，收支相抵，结转结余下年6360万元。</w:t>
      </w: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p>
    <w:p>
      <w:pPr>
        <w:pStyle w:val="2"/>
        <w:rPr>
          <w:rFonts w:ascii="黑体" w:eastAsia="黑体"/>
          <w:color w:val="000000" w:themeColor="text1"/>
          <w:sz w:val="32"/>
          <w:szCs w:val="32"/>
        </w:rPr>
      </w:pPr>
    </w:p>
    <w:p>
      <w:pPr>
        <w:pStyle w:val="3"/>
        <w:rPr>
          <w:rFonts w:ascii="黑体" w:eastAsia="黑体"/>
          <w:color w:val="000000" w:themeColor="text1"/>
          <w:sz w:val="32"/>
          <w:szCs w:val="32"/>
        </w:rPr>
      </w:pPr>
    </w:p>
    <w:p>
      <w:pPr>
        <w:pStyle w:val="3"/>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r>
        <w:rPr>
          <w:rFonts w:hint="eastAsia" w:ascii="黑体" w:eastAsia="黑体"/>
          <w:color w:val="000000" w:themeColor="text1"/>
          <w:sz w:val="32"/>
          <w:szCs w:val="32"/>
        </w:rPr>
        <w:t>说明2</w:t>
      </w:r>
    </w:p>
    <w:p>
      <w:pPr>
        <w:spacing w:line="620" w:lineRule="exact"/>
        <w:jc w:val="center"/>
        <w:rPr>
          <w:rFonts w:ascii="黑体" w:eastAsia="黑体"/>
          <w:color w:val="000000" w:themeColor="text1"/>
          <w:sz w:val="36"/>
          <w:szCs w:val="36"/>
        </w:rPr>
      </w:pPr>
    </w:p>
    <w:p>
      <w:pPr>
        <w:spacing w:line="620" w:lineRule="exact"/>
        <w:jc w:val="center"/>
        <w:rPr>
          <w:rFonts w:ascii="黑体" w:eastAsia="黑体"/>
          <w:color w:val="000000" w:themeColor="text1"/>
          <w:sz w:val="36"/>
          <w:szCs w:val="36"/>
        </w:rPr>
      </w:pPr>
      <w:r>
        <w:rPr>
          <w:rFonts w:hint="eastAsia" w:ascii="黑体" w:eastAsia="黑体"/>
          <w:color w:val="000000" w:themeColor="text1"/>
          <w:sz w:val="36"/>
          <w:szCs w:val="36"/>
        </w:rPr>
        <w:t>关于202</w:t>
      </w:r>
      <w:r>
        <w:rPr>
          <w:rFonts w:hint="eastAsia" w:ascii="黑体" w:eastAsia="黑体"/>
          <w:color w:val="000000" w:themeColor="text1"/>
          <w:sz w:val="36"/>
          <w:szCs w:val="36"/>
          <w:lang w:val="en-US" w:eastAsia="zh-CN"/>
        </w:rPr>
        <w:t>4</w:t>
      </w:r>
      <w:r>
        <w:rPr>
          <w:rFonts w:hint="eastAsia" w:ascii="黑体" w:eastAsia="黑体"/>
          <w:color w:val="000000" w:themeColor="text1"/>
          <w:sz w:val="36"/>
          <w:szCs w:val="36"/>
        </w:rPr>
        <w:t>年一般公共预算安排情况的说明</w:t>
      </w:r>
    </w:p>
    <w:p>
      <w:pPr>
        <w:ind w:firstLine="640" w:firstLineChars="200"/>
        <w:rPr>
          <w:rFonts w:ascii="Times New Roman" w:hAnsi="Times New Roman" w:eastAsia="仿宋_GB2312" w:cs="Times New Roman"/>
          <w:color w:val="000000" w:themeColor="text1"/>
          <w:sz w:val="32"/>
          <w:szCs w:val="32"/>
        </w:rPr>
      </w:pPr>
    </w:p>
    <w:p>
      <w:pPr>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4</w:t>
      </w:r>
      <w:r>
        <w:rPr>
          <w:rFonts w:hint="eastAsia" w:ascii="黑体" w:hAnsi="黑体" w:eastAsia="黑体" w:cs="Times New Roman"/>
          <w:color w:val="000000" w:themeColor="text1"/>
          <w:sz w:val="32"/>
          <w:szCs w:val="32"/>
        </w:rPr>
        <w:t>年一般公共预算安排情况</w:t>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p>
    <w:p>
      <w:pPr>
        <w:spacing w:line="540" w:lineRule="exact"/>
        <w:ind w:firstLine="672" w:firstLineChars="200"/>
        <w:rPr>
          <w:rFonts w:ascii="楷体" w:hAnsi="楷体" w:eastAsia="楷体" w:cs="Times New Roman"/>
          <w:color w:val="000000" w:themeColor="text1"/>
          <w:sz w:val="32"/>
          <w:szCs w:val="32"/>
        </w:rPr>
      </w:pPr>
      <w:r>
        <w:rPr>
          <w:rFonts w:hint="eastAsia" w:ascii="楷体" w:hAnsi="楷体" w:eastAsia="楷体" w:cs="Times New Roman"/>
          <w:bCs/>
          <w:color w:val="000000" w:themeColor="text1"/>
          <w:spacing w:val="8"/>
          <w:sz w:val="32"/>
          <w:szCs w:val="32"/>
        </w:rPr>
        <w:t>一、收入预算安排</w:t>
      </w:r>
      <w:r>
        <w:rPr>
          <w:rFonts w:hint="eastAsia" w:ascii="楷体" w:hAnsi="楷体" w:eastAsia="楷体" w:cs="Times New Roman"/>
          <w:color w:val="000000" w:themeColor="text1"/>
          <w:sz w:val="32"/>
          <w:szCs w:val="32"/>
        </w:rPr>
        <w:tab/>
      </w:r>
      <w:r>
        <w:rPr>
          <w:rFonts w:hint="eastAsia" w:ascii="楷体" w:hAnsi="楷体" w:eastAsia="楷体" w:cs="Times New Roman"/>
          <w:color w:val="000000" w:themeColor="text1"/>
          <w:sz w:val="32"/>
          <w:szCs w:val="32"/>
        </w:rPr>
        <w:tab/>
      </w:r>
      <w:r>
        <w:rPr>
          <w:rFonts w:hint="eastAsia" w:ascii="楷体" w:hAnsi="楷体" w:eastAsia="楷体" w:cs="Times New Roman"/>
          <w:color w:val="000000" w:themeColor="text1"/>
          <w:sz w:val="32"/>
          <w:szCs w:val="32"/>
        </w:rPr>
        <w:tab/>
      </w:r>
      <w:r>
        <w:rPr>
          <w:rFonts w:hint="eastAsia" w:ascii="楷体" w:hAnsi="楷体" w:eastAsia="楷体" w:cs="Times New Roman"/>
          <w:color w:val="000000" w:themeColor="text1"/>
          <w:sz w:val="32"/>
          <w:szCs w:val="32"/>
        </w:rPr>
        <w:tab/>
      </w:r>
      <w:r>
        <w:rPr>
          <w:rFonts w:hint="eastAsia" w:ascii="楷体" w:hAnsi="楷体" w:eastAsia="楷体" w:cs="Times New Roman"/>
          <w:color w:val="000000" w:themeColor="text1"/>
          <w:sz w:val="32"/>
          <w:szCs w:val="32"/>
        </w:rPr>
        <w:tab/>
      </w:r>
    </w:p>
    <w:p>
      <w:pPr>
        <w:overflowPunct w:val="0"/>
        <w:spacing w:line="54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收入预算：</w:t>
      </w:r>
      <w:r>
        <w:rPr>
          <w:rFonts w:hint="eastAsia" w:ascii="Times New Roman" w:hAnsi="Times New Roman" w:eastAsia="仿宋_GB2312" w:cs="Times New Roman"/>
          <w:color w:val="000000" w:themeColor="text1"/>
          <w:sz w:val="32"/>
          <w:szCs w:val="32"/>
        </w:rPr>
        <w:t>一般公共预算区级收入63500万元，增长5.3%。上级补助收入63823万元，政府债券转贷收入704万元，动用预算稳定调节基金11291万元，上年结转结余6360万元。全区财政收入预计145678万元。</w:t>
      </w:r>
    </w:p>
    <w:p>
      <w:pPr>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二、支出预算安排</w:t>
      </w:r>
      <w:r>
        <w:rPr>
          <w:rFonts w:hint="eastAsia" w:ascii="楷体" w:hAnsi="楷体" w:eastAsia="楷体"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overflowPunct w:val="0"/>
        <w:spacing w:line="54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支出预算：</w:t>
      </w:r>
      <w:r>
        <w:rPr>
          <w:rFonts w:hint="eastAsia" w:ascii="Times New Roman" w:hAnsi="Times New Roman" w:eastAsia="仿宋_GB2312" w:cs="Times New Roman"/>
          <w:color w:val="000000" w:themeColor="text1"/>
          <w:kern w:val="0"/>
          <w:sz w:val="32"/>
          <w:szCs w:val="32"/>
        </w:rPr>
        <w:t>一般公共预算支出136021万元。按照主要支出科目划分为：一般公共服务支出22543万元；公共安全支出900万元；教育支出30315万元；科学技术支出692万元；文化旅游体育与传媒支出1510万元；社会保障和就业支出40438万元；卫生健康支出13090万元；节能环保支出3030万元；城乡社区支出4345万元；农林水支出1076万元；自然资源海洋气象等支出50万元；资源勘探工业信息等支出1733万元；住房保障支出8032万元；商业服务业等支出1058万元；灾害防治及应急管理支出2032万元；粮油物资储备支出105万元；债务付息支出1140万元；预备费支出3800万元。上解上级支出8777万元，政府债券还本支出880万元。全区财政支出预计145678万元。</w:t>
      </w:r>
    </w:p>
    <w:p>
      <w:pPr>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根据预算法和中省有关规定，2024年编报5张报表反映区本级支出预算安排情况。具体是：（1）2024年区本级一般公共预算支出预算总表，反映2024年区本级支出预算总貌；（2）2024年区本级一般公共预算支出明细表（项级功能科目），将区本级支出按支出功能科目编列，反映区本级各项支出的具体内容和方向；（3）2024年一般公共预算本级基本支出表（款级政府经济科目），将区本级基本支出预算按政府预算支出经济科目编列，反映各项支出的经济性质和具体用途；（4）2024年一般公共预算税收返还和转移支付表（5）2024年专项转移支付反映区分项目安排情况。</w:t>
      </w:r>
    </w:p>
    <w:p>
      <w:pPr>
        <w:spacing w:line="540" w:lineRule="exact"/>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三、转移支付情况说明</w:t>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2024年转移支付资金预算</w:t>
      </w:r>
      <w:r>
        <w:rPr>
          <w:rFonts w:hint="eastAsia" w:ascii="Times New Roman" w:hAnsi="Times New Roman" w:eastAsia="仿宋_GB2312" w:cs="Times New Roman"/>
          <w:color w:val="auto"/>
          <w:sz w:val="32"/>
          <w:szCs w:val="32"/>
          <w:lang w:val="en-US" w:eastAsia="zh-CN"/>
        </w:rPr>
        <w:t>63823</w:t>
      </w:r>
      <w:r>
        <w:rPr>
          <w:rFonts w:hint="eastAsia" w:ascii="Times New Roman" w:hAnsi="Times New Roman" w:eastAsia="仿宋_GB2312" w:cs="Times New Roman"/>
          <w:color w:val="auto"/>
          <w:sz w:val="32"/>
          <w:szCs w:val="32"/>
        </w:rPr>
        <w:t>万元，其中：返还性收入-1453万元，一般性转移支付44276万元，专项转移支付21000万元。按照转移支付和专项转移支付要求，结合实际予以安排。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Times New Roman" w:hAnsi="Times New Roman" w:eastAsia="仿宋_GB2312" w:cs="Times New Roman"/>
          <w:color w:val="auto"/>
          <w:sz w:val="32"/>
          <w:szCs w:val="32"/>
        </w:rPr>
      </w:pPr>
      <w:r>
        <w:rPr>
          <w:rFonts w:hint="eastAsia" w:ascii="楷体" w:hAnsi="楷体" w:eastAsia="楷体" w:cs="Times New Roman"/>
          <w:bCs/>
          <w:color w:val="auto"/>
          <w:spacing w:val="8"/>
          <w:sz w:val="32"/>
          <w:szCs w:val="32"/>
        </w:rPr>
        <w:t>四、预算绩效开展情况说明</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省、市预算绩效管理工作及高质量发展考核指标体系要求,全区要全面建成全方位、全过程、全覆盖的预算绩效管理体系,将绩效管理的理念和方法融入预算管理,实现预算和绩效管理一体化,探高财政资源配置效率和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区本级绩效管理重点任务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开展事前绩效评估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工作要求:对新出台的政策项目,新增100万元以上的部门预算项目及年度预算增加金额100万元以上的延续性项目开展事前绩效评估,评估结果作为项目延续和新增预算安排的必备依据;加强对新出台民生政策的财政可持续性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强化绩效目标管理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工作要求：强化绩效目标“全过程”管理，即绩效目标贯穿事前评估、预算编制、执行监控、结果评价全过程,指导预算单位提高绩效目标编制水平,强化绩效目标审核,切实推进绩效目标可评价、可衡量、可应用。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推进绩效运行“双监控”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工作内容:按照“谁支出、谁负责”的原则,对所有部门（单位）预算项目支出,部门整体支出及追加项目实行绩效目标实现程度和预算执行进度“双监控”,针对绩效目标使用方向有偏差、执行进度滞后的项目,及时提示警示纠偏。</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4.全面开展绩效评价</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工作内容：实现财政拨款资金全口径支出绩效自评,如实反映绩效目标实现结果,及时上报自评报告和自评表,区财政局将根据自评情况开展财政重点绩效评价,评价结果报送同级人大和政府,并向社会公开。</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5.深化评价结果应用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工作内容:完善绩效评价结果反馈机制和绩效问题整改责任制，形成反馈、整改、提升绩效的良性循环。提高评价结果与预算安排挂钩的广度和深度，切实提高评价结果“指挥棒”作用。</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Times New Roman" w:hAnsi="Times New Roman" w:eastAsia="仿宋_GB2312" w:cs="Times New Roman"/>
          <w:color w:val="auto"/>
          <w:sz w:val="32"/>
          <w:szCs w:val="32"/>
        </w:rPr>
      </w:pPr>
      <w:r>
        <w:rPr>
          <w:rFonts w:hint="eastAsia" w:ascii="楷体" w:hAnsi="楷体" w:eastAsia="楷体" w:cs="Times New Roman"/>
          <w:bCs/>
          <w:color w:val="auto"/>
          <w:spacing w:val="8"/>
          <w:sz w:val="32"/>
          <w:szCs w:val="32"/>
        </w:rPr>
        <w:t>五、举借债务情况说明</w:t>
      </w:r>
      <w:r>
        <w:rPr>
          <w:rFonts w:hint="eastAsia" w:ascii="Times New Roman" w:hAnsi="Times New Roman" w:eastAsia="楷体_GB2312" w:cs="Times New Roman"/>
          <w:bCs/>
          <w:color w:val="auto"/>
          <w:spacing w:val="8"/>
          <w:sz w:val="32"/>
          <w:szCs w:val="32"/>
        </w:rPr>
        <w:tab/>
      </w:r>
      <w:r>
        <w:rPr>
          <w:rFonts w:hint="eastAsia" w:ascii="Times New Roman" w:hAnsi="Times New Roman" w:eastAsia="楷体_GB2312" w:cs="Times New Roman"/>
          <w:bCs/>
          <w:color w:val="auto"/>
          <w:spacing w:val="8"/>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p>
    <w:p>
      <w:pP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2024年债务余额待年终汇总完毕。债务限额及新增债券的分配待市人代会审议通过并由市财政局下达后，方可公开。</w:t>
      </w:r>
    </w:p>
    <w:p>
      <w:pPr>
        <w:spacing w:line="540" w:lineRule="exact"/>
        <w:ind w:firstLine="504" w:firstLineChars="150"/>
        <w:rPr>
          <w:rFonts w:ascii="Times New Roman" w:hAnsi="Times New Roman" w:eastAsia="仿宋_GB2312" w:cs="Times New Roman"/>
          <w:color w:val="auto"/>
          <w:sz w:val="32"/>
          <w:szCs w:val="32"/>
        </w:rPr>
      </w:pPr>
      <w:r>
        <w:rPr>
          <w:rFonts w:hint="eastAsia" w:ascii="楷体" w:hAnsi="楷体" w:eastAsia="楷体" w:cs="Times New Roman"/>
          <w:bCs/>
          <w:color w:val="auto"/>
          <w:spacing w:val="8"/>
          <w:sz w:val="32"/>
          <w:szCs w:val="32"/>
        </w:rPr>
        <w:t>六、“三公”经费预算安排情况</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p>
    <w:p>
      <w:pP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三公”经费增减变化说明：2024年，全区“三公”经费预算汇总合计177.9万元，较上年预算减少31.3万，压减15%，其中：因公出国（境）费10万元，上年0万元；公务接待费21万元，较上年预算增减0万元；公务用车购置费0万元，上年34.9万元，公务用车年初购置暂无计划；因公出国（境）上年0万元，按照计划安排预列10万元；公务用车运行维护费146.9万元，较上年预算减少6.4万元；公务接待费因为全区基数较小，支出可控，所以预算较上年持平。</w:t>
      </w:r>
    </w:p>
    <w:p>
      <w:pPr>
        <w:rPr>
          <w:rFonts w:ascii="Times New Roman" w:hAnsi="Times New Roman" w:eastAsia="仿宋_GB2312" w:cs="Times New Roman"/>
          <w:color w:val="FF0000"/>
          <w:sz w:val="32"/>
          <w:szCs w:val="32"/>
        </w:rPr>
      </w:pPr>
    </w:p>
    <w:p>
      <w:pPr>
        <w:pStyle w:val="2"/>
        <w:rPr>
          <w:rFonts w:ascii="Times New Roman" w:hAnsi="Times New Roman" w:eastAsia="仿宋_GB2312" w:cs="Times New Roman"/>
          <w:color w:val="FF0000"/>
          <w:sz w:val="32"/>
          <w:szCs w:val="32"/>
        </w:rPr>
      </w:pPr>
    </w:p>
    <w:p>
      <w:pPr>
        <w:pStyle w:val="3"/>
        <w:rPr>
          <w:rFonts w:ascii="Times New Roman" w:hAnsi="Times New Roman" w:eastAsia="仿宋_GB2312" w:cs="Times New Roman"/>
          <w:color w:val="FF0000"/>
          <w:sz w:val="32"/>
          <w:szCs w:val="32"/>
        </w:rPr>
      </w:pPr>
    </w:p>
    <w:p>
      <w:pPr>
        <w:pStyle w:val="3"/>
        <w:rPr>
          <w:rFonts w:ascii="Times New Roman" w:hAnsi="Times New Roman" w:eastAsia="仿宋_GB2312" w:cs="Times New Roman"/>
          <w:color w:val="FF0000"/>
          <w:sz w:val="32"/>
          <w:szCs w:val="32"/>
        </w:rPr>
      </w:pPr>
    </w:p>
    <w:p>
      <w:pPr>
        <w:pStyle w:val="3"/>
        <w:rPr>
          <w:rFonts w:ascii="Times New Roman" w:hAnsi="Times New Roman" w:eastAsia="仿宋_GB2312" w:cs="Times New Roman"/>
          <w:color w:val="FF0000"/>
          <w:sz w:val="32"/>
          <w:szCs w:val="32"/>
        </w:rPr>
      </w:pPr>
    </w:p>
    <w:p>
      <w:pPr>
        <w:pStyle w:val="3"/>
        <w:rPr>
          <w:rFonts w:ascii="Times New Roman" w:hAnsi="Times New Roman" w:eastAsia="仿宋_GB2312" w:cs="Times New Roman"/>
          <w:color w:val="FF0000"/>
          <w:sz w:val="32"/>
          <w:szCs w:val="32"/>
        </w:rPr>
      </w:pPr>
    </w:p>
    <w:p>
      <w:pPr>
        <w:pStyle w:val="3"/>
        <w:rPr>
          <w:rFonts w:ascii="Times New Roman" w:hAnsi="Times New Roman" w:eastAsia="仿宋_GB2312" w:cs="Times New Roman"/>
          <w:color w:val="FF0000"/>
          <w:sz w:val="32"/>
          <w:szCs w:val="32"/>
        </w:rPr>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r>
        <w:rPr>
          <w:rFonts w:hint="eastAsia" w:ascii="黑体" w:eastAsia="黑体"/>
          <w:color w:val="000000" w:themeColor="text1"/>
          <w:sz w:val="32"/>
          <w:szCs w:val="32"/>
        </w:rPr>
        <w:t>说明3</w:t>
      </w:r>
    </w:p>
    <w:p>
      <w:pPr>
        <w:spacing w:line="620" w:lineRule="exact"/>
        <w:jc w:val="center"/>
        <w:rPr>
          <w:rFonts w:ascii="黑体" w:eastAsia="黑体"/>
          <w:color w:val="000000" w:themeColor="text1"/>
          <w:sz w:val="36"/>
          <w:szCs w:val="36"/>
        </w:rPr>
      </w:pPr>
    </w:p>
    <w:p>
      <w:pPr>
        <w:spacing w:line="620" w:lineRule="exact"/>
        <w:jc w:val="center"/>
        <w:rPr>
          <w:rFonts w:ascii="黑体" w:eastAsia="黑体"/>
          <w:color w:val="000000" w:themeColor="text1"/>
          <w:sz w:val="36"/>
          <w:szCs w:val="36"/>
        </w:rPr>
      </w:pPr>
      <w:r>
        <w:rPr>
          <w:rFonts w:hint="eastAsia" w:ascii="黑体" w:eastAsia="黑体"/>
          <w:color w:val="000000" w:themeColor="text1"/>
          <w:sz w:val="36"/>
          <w:szCs w:val="36"/>
        </w:rPr>
        <w:t>关于202</w:t>
      </w:r>
      <w:r>
        <w:rPr>
          <w:rFonts w:hint="eastAsia" w:ascii="黑体" w:eastAsia="黑体"/>
          <w:color w:val="000000" w:themeColor="text1"/>
          <w:sz w:val="36"/>
          <w:szCs w:val="36"/>
          <w:lang w:val="en-US" w:eastAsia="zh-CN"/>
        </w:rPr>
        <w:t>3</w:t>
      </w:r>
      <w:r>
        <w:rPr>
          <w:rFonts w:hint="eastAsia" w:ascii="黑体" w:eastAsia="黑体"/>
          <w:color w:val="000000" w:themeColor="text1"/>
          <w:sz w:val="36"/>
          <w:szCs w:val="36"/>
        </w:rPr>
        <w:t>年政府性基金预算执行情况的说明</w:t>
      </w:r>
    </w:p>
    <w:p>
      <w:pPr>
        <w:rPr>
          <w:rFonts w:ascii="Times New Roman" w:hAnsi="Times New Roman" w:eastAsia="仿宋_GB2312" w:cs="Times New Roman"/>
          <w:color w:val="000000" w:themeColor="text1"/>
          <w:sz w:val="32"/>
          <w:szCs w:val="32"/>
        </w:rPr>
      </w:pP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政府性基金预算，是依照法律、行政法规的规定在一定期限内向特定对象征收、收取或者以其他方式取得的收入，专项用于特定公共事业发展的收支预算。政府性基金预算应当根据基金项目收入情况和实际支出需要，按基金项目编制，做到以收定支。</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left="638" w:leftChars="304"/>
        <w:rPr>
          <w:rFonts w:ascii="Times New Roman"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3</w:t>
      </w:r>
      <w:r>
        <w:rPr>
          <w:rFonts w:hint="eastAsia" w:ascii="黑体" w:hAnsi="黑体" w:eastAsia="黑体" w:cs="Times New Roman"/>
          <w:color w:val="000000" w:themeColor="text1"/>
          <w:sz w:val="32"/>
          <w:szCs w:val="32"/>
        </w:rPr>
        <w:t>年政府性基金预算执行情况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spacing w:line="540" w:lineRule="exact"/>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一、收入预算执行情况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2023年政府性基金收入1737万元，加上上级补助收入17906万元和上年结转1674万元，收入总计21317万元。</w:t>
      </w:r>
    </w:p>
    <w:p>
      <w:pPr>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二、支出预算执行情况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4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lang w:val="en-US" w:eastAsia="zh-CN"/>
        </w:rPr>
        <w:t>3</w:t>
      </w:r>
      <w:r>
        <w:rPr>
          <w:rFonts w:hint="eastAsia" w:ascii="Times New Roman" w:hAnsi="Times New Roman" w:eastAsia="仿宋_GB2312" w:cs="Times New Roman"/>
          <w:color w:val="000000" w:themeColor="text1"/>
          <w:sz w:val="32"/>
          <w:szCs w:val="32"/>
        </w:rPr>
        <w:t>年政府性基金支出17940万元，调出资金2000万元，收支相抵，预算执行结转下年1377万元。</w:t>
      </w:r>
    </w:p>
    <w:p>
      <w:pPr>
        <w:rPr>
          <w:rFonts w:ascii="Times New Roman" w:hAnsi="Times New Roman" w:eastAsia="仿宋_GB2312" w:cs="Times New Roman"/>
          <w:color w:val="000000" w:themeColor="text1"/>
          <w:sz w:val="32"/>
          <w:szCs w:val="32"/>
        </w:rPr>
      </w:pPr>
    </w:p>
    <w:p>
      <w:pPr>
        <w:pStyle w:val="2"/>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p>
    <w:p>
      <w:pPr>
        <w:widowControl/>
        <w:spacing w:line="620" w:lineRule="exact"/>
        <w:jc w:val="left"/>
        <w:rPr>
          <w:rFonts w:ascii="黑体" w:eastAsia="黑体"/>
          <w:color w:val="000000" w:themeColor="text1"/>
          <w:sz w:val="32"/>
          <w:szCs w:val="32"/>
        </w:rPr>
      </w:pPr>
      <w:r>
        <w:rPr>
          <w:rFonts w:hint="eastAsia" w:ascii="黑体" w:eastAsia="黑体"/>
          <w:color w:val="000000" w:themeColor="text1"/>
          <w:sz w:val="32"/>
          <w:szCs w:val="32"/>
        </w:rPr>
        <w:t>说明4</w:t>
      </w:r>
    </w:p>
    <w:p>
      <w:pPr>
        <w:spacing w:line="620" w:lineRule="exact"/>
        <w:jc w:val="center"/>
        <w:rPr>
          <w:b/>
          <w:color w:val="000000" w:themeColor="text1"/>
          <w:sz w:val="36"/>
          <w:szCs w:val="36"/>
          <w:highlight w:val="yellow"/>
        </w:rPr>
      </w:pPr>
    </w:p>
    <w:p>
      <w:pPr>
        <w:spacing w:line="620" w:lineRule="exact"/>
        <w:jc w:val="center"/>
        <w:rPr>
          <w:b/>
          <w:color w:val="000000" w:themeColor="text1"/>
          <w:sz w:val="36"/>
          <w:szCs w:val="36"/>
        </w:rPr>
      </w:pPr>
      <w:r>
        <w:rPr>
          <w:rFonts w:hint="eastAsia"/>
          <w:b/>
          <w:color w:val="000000" w:themeColor="text1"/>
          <w:sz w:val="36"/>
          <w:szCs w:val="36"/>
        </w:rPr>
        <w:t>关于202</w:t>
      </w:r>
      <w:r>
        <w:rPr>
          <w:rFonts w:hint="eastAsia"/>
          <w:b/>
          <w:color w:val="000000" w:themeColor="text1"/>
          <w:sz w:val="36"/>
          <w:szCs w:val="36"/>
          <w:lang w:val="en-US" w:eastAsia="zh-CN"/>
        </w:rPr>
        <w:t>4</w:t>
      </w:r>
      <w:r>
        <w:rPr>
          <w:rFonts w:hint="eastAsia"/>
          <w:b/>
          <w:color w:val="000000" w:themeColor="text1"/>
          <w:sz w:val="36"/>
          <w:szCs w:val="36"/>
        </w:rPr>
        <w:t>年政府性基金预算安排情况的说明</w:t>
      </w:r>
    </w:p>
    <w:p>
      <w:pPr>
        <w:rPr>
          <w:rFonts w:ascii="Times New Roman" w:hAnsi="Times New Roman" w:eastAsia="仿宋_GB2312" w:cs="Times New Roman"/>
          <w:color w:val="000000" w:themeColor="text1"/>
          <w:sz w:val="32"/>
          <w:szCs w:val="32"/>
        </w:rPr>
      </w:pPr>
    </w:p>
    <w:p>
      <w:pPr>
        <w:ind w:firstLine="787" w:firstLineChars="246"/>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4</w:t>
      </w:r>
      <w:r>
        <w:rPr>
          <w:rFonts w:hint="eastAsia" w:ascii="黑体" w:hAnsi="黑体" w:eastAsia="黑体" w:cs="Times New Roman"/>
          <w:color w:val="000000" w:themeColor="text1"/>
          <w:sz w:val="32"/>
          <w:szCs w:val="32"/>
        </w:rPr>
        <w:t>年政府性基金预算安排情况</w:t>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楷体" w:hAnsi="楷体" w:eastAsia="楷体" w:cs="Times New Roman"/>
          <w:bCs/>
          <w:color w:val="000000" w:themeColor="text1"/>
          <w:spacing w:val="8"/>
          <w:sz w:val="32"/>
          <w:szCs w:val="32"/>
        </w:rPr>
        <w:t>一、收入预算安排情况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2024年政府性基金收入预算2117万元，加上上年结转1377万元，收入总计3494万元。</w:t>
      </w:r>
    </w:p>
    <w:p>
      <w:pPr>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ab/>
      </w:r>
      <w:r>
        <w:rPr>
          <w:rFonts w:hint="eastAsia" w:ascii="楷体" w:hAnsi="楷体" w:eastAsia="楷体" w:cs="Times New Roman"/>
          <w:bCs/>
          <w:color w:val="000000" w:themeColor="text1"/>
          <w:spacing w:val="8"/>
          <w:sz w:val="32"/>
          <w:szCs w:val="32"/>
        </w:rPr>
        <w:t>二、支出预算安排情况</w:t>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lang w:val="en-US" w:eastAsia="zh-CN"/>
        </w:rPr>
        <w:t>4</w:t>
      </w:r>
      <w:r>
        <w:rPr>
          <w:rFonts w:hint="eastAsia" w:ascii="Times New Roman" w:hAnsi="Times New Roman" w:eastAsia="仿宋_GB2312" w:cs="Times New Roman"/>
          <w:color w:val="000000" w:themeColor="text1"/>
          <w:sz w:val="32"/>
          <w:szCs w:val="32"/>
        </w:rPr>
        <w:t>年政府性基金支出预算</w:t>
      </w:r>
      <w:r>
        <w:rPr>
          <w:rFonts w:hint="eastAsia" w:ascii="Times New Roman" w:hAnsi="Times New Roman" w:eastAsia="仿宋_GB2312" w:cs="Times New Roman"/>
          <w:color w:val="000000" w:themeColor="text1"/>
          <w:sz w:val="32"/>
          <w:szCs w:val="32"/>
          <w:lang w:val="en-US" w:eastAsia="zh-CN"/>
        </w:rPr>
        <w:t>3494</w:t>
      </w:r>
      <w:r>
        <w:rPr>
          <w:rFonts w:hint="eastAsia" w:ascii="Times New Roman" w:hAnsi="Times New Roman" w:eastAsia="仿宋_GB2312" w:cs="Times New Roman"/>
          <w:color w:val="000000" w:themeColor="text1"/>
          <w:sz w:val="32"/>
          <w:szCs w:val="32"/>
        </w:rPr>
        <w:t>万元。</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widowControl/>
        <w:spacing w:line="620" w:lineRule="exact"/>
        <w:jc w:val="left"/>
        <w:rPr>
          <w:rFonts w:ascii="黑体" w:hAnsi="宋体" w:eastAsia="黑体"/>
          <w:color w:val="000000" w:themeColor="text1"/>
          <w:sz w:val="32"/>
          <w:szCs w:val="32"/>
        </w:rPr>
      </w:pPr>
    </w:p>
    <w:p>
      <w:pPr>
        <w:widowControl/>
        <w:spacing w:line="620" w:lineRule="exact"/>
        <w:jc w:val="left"/>
        <w:rPr>
          <w:rFonts w:ascii="黑体" w:hAnsi="宋体" w:eastAsia="黑体"/>
          <w:color w:val="000000" w:themeColor="text1"/>
          <w:sz w:val="32"/>
          <w:szCs w:val="32"/>
        </w:rPr>
      </w:pPr>
    </w:p>
    <w:p>
      <w:pPr>
        <w:widowControl/>
        <w:spacing w:line="620" w:lineRule="exact"/>
        <w:jc w:val="left"/>
        <w:rPr>
          <w:rFonts w:ascii="黑体" w:hAnsi="宋体" w:eastAsia="黑体"/>
          <w:color w:val="000000" w:themeColor="text1"/>
          <w:sz w:val="32"/>
          <w:szCs w:val="32"/>
        </w:rPr>
      </w:pPr>
      <w:r>
        <w:rPr>
          <w:rFonts w:hint="eastAsia" w:ascii="黑体" w:hAnsi="宋体" w:eastAsia="黑体"/>
          <w:color w:val="000000" w:themeColor="text1"/>
          <w:sz w:val="32"/>
          <w:szCs w:val="32"/>
        </w:rPr>
        <w:t>说明5</w:t>
      </w:r>
    </w:p>
    <w:p>
      <w:pPr>
        <w:spacing w:line="620" w:lineRule="exact"/>
        <w:rPr>
          <w:rFonts w:ascii="黑体" w:hAnsi="宋体" w:eastAsia="黑体"/>
          <w:color w:val="000000" w:themeColor="text1"/>
          <w:sz w:val="32"/>
          <w:szCs w:val="32"/>
        </w:rPr>
      </w:pPr>
    </w:p>
    <w:p>
      <w:pPr>
        <w:spacing w:line="620" w:lineRule="exact"/>
        <w:jc w:val="center"/>
        <w:rPr>
          <w:rFonts w:ascii="宋体" w:hAnsi="宋体"/>
          <w:b/>
          <w:color w:val="000000" w:themeColor="text1"/>
          <w:sz w:val="36"/>
          <w:szCs w:val="36"/>
        </w:rPr>
      </w:pPr>
      <w:r>
        <w:rPr>
          <w:rFonts w:hint="eastAsia" w:ascii="宋体" w:hAnsi="宋体"/>
          <w:b/>
          <w:color w:val="000000" w:themeColor="text1"/>
          <w:sz w:val="36"/>
          <w:szCs w:val="36"/>
        </w:rPr>
        <w:t>关于202</w:t>
      </w:r>
      <w:r>
        <w:rPr>
          <w:rFonts w:hint="eastAsia" w:ascii="宋体" w:hAnsi="宋体"/>
          <w:b/>
          <w:color w:val="000000" w:themeColor="text1"/>
          <w:sz w:val="36"/>
          <w:szCs w:val="36"/>
          <w:lang w:val="en-US" w:eastAsia="zh-CN"/>
        </w:rPr>
        <w:t>3</w:t>
      </w:r>
      <w:r>
        <w:rPr>
          <w:rFonts w:hint="eastAsia" w:ascii="宋体" w:hAnsi="宋体"/>
          <w:b/>
          <w:color w:val="000000" w:themeColor="text1"/>
          <w:sz w:val="36"/>
          <w:szCs w:val="36"/>
        </w:rPr>
        <w:t>年国有资本经营预算执行情况的说明</w:t>
      </w:r>
    </w:p>
    <w:p>
      <w:pPr>
        <w:spacing w:line="620" w:lineRule="exact"/>
        <w:ind w:firstLine="640" w:firstLineChars="200"/>
        <w:rPr>
          <w:rFonts w:ascii="华文仿宋" w:hAnsi="华文仿宋" w:eastAsia="华文仿宋"/>
          <w:color w:val="000000" w:themeColor="text1"/>
          <w:sz w:val="32"/>
          <w:szCs w:val="32"/>
        </w:rPr>
      </w:pP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国有资本经营预算，是对国有资本收益作出支出安排的收支预算。</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3</w:t>
      </w:r>
      <w:r>
        <w:rPr>
          <w:rFonts w:hint="eastAsia" w:ascii="黑体" w:hAnsi="黑体" w:eastAsia="黑体" w:cs="Times New Roman"/>
          <w:color w:val="000000" w:themeColor="text1"/>
          <w:sz w:val="32"/>
          <w:szCs w:val="32"/>
        </w:rPr>
        <w:t>年国有资本经营预算执行情况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72" w:firstLineChars="200"/>
        <w:rPr>
          <w:rFonts w:ascii="Times New Roman" w:hAnsi="Times New Roman" w:eastAsia="仿宋_GB2312" w:cs="Times New Roman"/>
          <w:color w:val="auto"/>
          <w:sz w:val="32"/>
          <w:szCs w:val="32"/>
        </w:rPr>
      </w:pPr>
      <w:r>
        <w:rPr>
          <w:rFonts w:hint="eastAsia" w:ascii="楷体" w:hAnsi="楷体" w:eastAsia="楷体" w:cs="Times New Roman"/>
          <w:bCs/>
          <w:color w:val="auto"/>
          <w:spacing w:val="8"/>
          <w:sz w:val="32"/>
          <w:szCs w:val="32"/>
        </w:rPr>
        <w:t>一、收入预算执行情况</w:t>
      </w:r>
      <w:r>
        <w:rPr>
          <w:rFonts w:hint="eastAsia" w:ascii="楷体" w:hAnsi="楷体" w:eastAsia="楷体" w:cs="Times New Roman"/>
          <w:bCs/>
          <w:color w:val="auto"/>
          <w:spacing w:val="8"/>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2023年区本级国有资本经营预算收入上级补助收入921万元。</w:t>
      </w:r>
    </w:p>
    <w:p>
      <w:pPr>
        <w:ind w:firstLine="672" w:firstLineChars="200"/>
        <w:rPr>
          <w:rFonts w:ascii="Times New Roman" w:hAnsi="Times New Roman" w:eastAsia="仿宋_GB2312" w:cs="Times New Roman"/>
          <w:color w:val="auto"/>
          <w:sz w:val="32"/>
          <w:szCs w:val="32"/>
        </w:rPr>
      </w:pPr>
      <w:r>
        <w:rPr>
          <w:rFonts w:hint="eastAsia" w:ascii="楷体" w:hAnsi="楷体" w:eastAsia="楷体" w:cs="Times New Roman"/>
          <w:bCs/>
          <w:color w:val="auto"/>
          <w:spacing w:val="8"/>
          <w:sz w:val="32"/>
          <w:szCs w:val="32"/>
        </w:rPr>
        <w:t>二、支出预算执行情况</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ab/>
      </w:r>
    </w:p>
    <w:p>
      <w:pPr>
        <w:ind w:firstLine="63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2023年区本级国有资本经营预算支出调出资金921万元。</w:t>
      </w:r>
    </w:p>
    <w:p>
      <w:pPr>
        <w:ind w:firstLine="630"/>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pStyle w:val="2"/>
        <w:rPr>
          <w:rFonts w:ascii="Times New Roman" w:hAnsi="Times New Roman" w:eastAsia="仿宋_GB2312" w:cs="Times New Roman"/>
          <w:color w:val="000000" w:themeColor="text1"/>
          <w:sz w:val="32"/>
          <w:szCs w:val="32"/>
        </w:rPr>
      </w:pPr>
    </w:p>
    <w:p>
      <w:pPr>
        <w:pStyle w:val="3"/>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Times New Roman" w:hAnsi="Times New Roman" w:eastAsia="仿宋_GB2312" w:cs="Times New Roman"/>
          <w:color w:val="000000" w:themeColor="text1"/>
          <w:sz w:val="32"/>
          <w:szCs w:val="32"/>
        </w:rPr>
      </w:pPr>
    </w:p>
    <w:p>
      <w:pPr>
        <w:widowControl/>
        <w:spacing w:line="620" w:lineRule="exact"/>
        <w:jc w:val="left"/>
        <w:rPr>
          <w:rFonts w:ascii="黑体" w:hAnsi="宋体" w:eastAsia="黑体"/>
          <w:color w:val="000000" w:themeColor="text1"/>
          <w:sz w:val="32"/>
          <w:szCs w:val="32"/>
        </w:rPr>
      </w:pPr>
      <w:r>
        <w:rPr>
          <w:rFonts w:hint="eastAsia" w:ascii="黑体" w:hAnsi="宋体" w:eastAsia="黑体"/>
          <w:color w:val="000000" w:themeColor="text1"/>
          <w:sz w:val="32"/>
          <w:szCs w:val="32"/>
        </w:rPr>
        <w:t>说明6</w:t>
      </w:r>
    </w:p>
    <w:p>
      <w:pPr>
        <w:spacing w:line="620" w:lineRule="exact"/>
        <w:rPr>
          <w:rFonts w:ascii="黑体" w:hAnsi="宋体" w:eastAsia="黑体"/>
          <w:color w:val="000000" w:themeColor="text1"/>
          <w:sz w:val="32"/>
          <w:szCs w:val="32"/>
        </w:rPr>
      </w:pPr>
    </w:p>
    <w:p>
      <w:pPr>
        <w:spacing w:line="620" w:lineRule="exact"/>
        <w:jc w:val="center"/>
        <w:rPr>
          <w:rFonts w:ascii="宋体" w:hAnsi="宋体"/>
          <w:b/>
          <w:color w:val="000000" w:themeColor="text1"/>
          <w:sz w:val="36"/>
          <w:szCs w:val="36"/>
        </w:rPr>
      </w:pPr>
      <w:r>
        <w:rPr>
          <w:rFonts w:hint="eastAsia" w:ascii="宋体" w:hAnsi="宋体"/>
          <w:b/>
          <w:color w:val="000000" w:themeColor="text1"/>
          <w:sz w:val="36"/>
          <w:szCs w:val="36"/>
        </w:rPr>
        <w:t>关于202</w:t>
      </w:r>
      <w:r>
        <w:rPr>
          <w:rFonts w:hint="eastAsia" w:ascii="宋体" w:hAnsi="宋体"/>
          <w:b/>
          <w:color w:val="000000" w:themeColor="text1"/>
          <w:sz w:val="36"/>
          <w:szCs w:val="36"/>
          <w:lang w:val="en-US" w:eastAsia="zh-CN"/>
        </w:rPr>
        <w:t>4</w:t>
      </w:r>
      <w:r>
        <w:rPr>
          <w:rFonts w:hint="eastAsia" w:ascii="宋体" w:hAnsi="宋体"/>
          <w:b/>
          <w:color w:val="000000" w:themeColor="text1"/>
          <w:sz w:val="36"/>
          <w:szCs w:val="36"/>
        </w:rPr>
        <w:t>年国有资本经营预算安排情况的说明</w:t>
      </w:r>
    </w:p>
    <w:p>
      <w:pPr>
        <w:spacing w:line="620" w:lineRule="exact"/>
        <w:rPr>
          <w:rFonts w:ascii="仿宋_GB2312" w:hAnsi="华文仿宋" w:eastAsia="仿宋_GB2312"/>
          <w:b/>
          <w:color w:val="000000" w:themeColor="text1"/>
          <w:sz w:val="32"/>
          <w:szCs w:val="32"/>
        </w:rPr>
      </w:pPr>
    </w:p>
    <w:p>
      <w:pPr>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4</w:t>
      </w:r>
      <w:r>
        <w:rPr>
          <w:rFonts w:hint="eastAsia" w:ascii="黑体" w:hAnsi="黑体" w:eastAsia="黑体" w:cs="Times New Roman"/>
          <w:color w:val="000000" w:themeColor="text1"/>
          <w:sz w:val="32"/>
          <w:szCs w:val="32"/>
        </w:rPr>
        <w:t>年国有资本经营预算安排情况</w:t>
      </w:r>
      <w:r>
        <w:rPr>
          <w:rFonts w:hint="eastAsia" w:ascii="黑体" w:hAnsi="黑体" w:eastAsia="黑体"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楷体" w:hAnsi="楷体" w:eastAsia="楷体" w:cs="Times New Roman"/>
          <w:bCs/>
          <w:color w:val="000000" w:themeColor="text1"/>
          <w:spacing w:val="8"/>
          <w:sz w:val="32"/>
          <w:szCs w:val="32"/>
        </w:rPr>
        <w:t>一、收入预算安排情况</w:t>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480" w:firstLineChars="15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202</w:t>
      </w:r>
      <w:r>
        <w:rPr>
          <w:rFonts w:hint="eastAsia" w:ascii="Times New Roman" w:hAnsi="Times New Roman" w:eastAsia="仿宋_GB2312" w:cs="Times New Roman"/>
          <w:color w:val="000000" w:themeColor="text1"/>
          <w:sz w:val="32"/>
          <w:szCs w:val="32"/>
          <w:lang w:val="en-US" w:eastAsia="zh-CN"/>
        </w:rPr>
        <w:t>4</w:t>
      </w:r>
      <w:r>
        <w:rPr>
          <w:rFonts w:hint="eastAsia" w:ascii="Times New Roman" w:hAnsi="Times New Roman" w:eastAsia="仿宋_GB2312" w:cs="Times New Roman"/>
          <w:color w:val="000000" w:themeColor="text1"/>
          <w:sz w:val="32"/>
          <w:szCs w:val="32"/>
        </w:rPr>
        <w:t>年区本级国有资本经营预算收入预算表政府收支活动无此项内容，故不填列。</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二、支出预算安排情况</w:t>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lang w:val="en-US" w:eastAsia="zh-CN"/>
        </w:rPr>
        <w:t>4</w:t>
      </w:r>
      <w:r>
        <w:rPr>
          <w:rFonts w:hint="eastAsia" w:ascii="Times New Roman" w:hAnsi="Times New Roman" w:eastAsia="仿宋_GB2312" w:cs="Times New Roman"/>
          <w:color w:val="000000" w:themeColor="text1"/>
          <w:sz w:val="32"/>
          <w:szCs w:val="32"/>
        </w:rPr>
        <w:t>年区本级国有资本经营预算支出预算表政府收支活动无此项内容，故不填列。</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spacing w:line="620" w:lineRule="exact"/>
        <w:rPr>
          <w:rFonts w:ascii="Times New Roman" w:hAnsi="Times New Roman" w:eastAsia="仿宋_GB2312" w:cs="Times New Roman"/>
          <w:color w:val="000000" w:themeColor="text1"/>
          <w:sz w:val="32"/>
          <w:szCs w:val="32"/>
        </w:rPr>
      </w:pPr>
    </w:p>
    <w:p>
      <w:pPr>
        <w:spacing w:line="620" w:lineRule="exact"/>
        <w:rPr>
          <w:rFonts w:ascii="Times New Roman" w:hAnsi="Times New Roman" w:eastAsia="仿宋_GB2312" w:cs="Times New Roman"/>
          <w:color w:val="000000" w:themeColor="text1"/>
          <w:sz w:val="32"/>
          <w:szCs w:val="32"/>
        </w:rPr>
      </w:pPr>
    </w:p>
    <w:p>
      <w:pPr>
        <w:spacing w:line="620" w:lineRule="exact"/>
        <w:rPr>
          <w:rFonts w:ascii="黑体" w:hAnsi="宋体" w:eastAsia="黑体"/>
          <w:color w:val="000000" w:themeColor="text1"/>
          <w:sz w:val="32"/>
          <w:szCs w:val="32"/>
        </w:rPr>
      </w:pPr>
      <w:r>
        <w:rPr>
          <w:rFonts w:hint="eastAsia" w:ascii="黑体" w:hAnsi="宋体" w:eastAsia="黑体"/>
          <w:color w:val="000000" w:themeColor="text1"/>
          <w:sz w:val="32"/>
          <w:szCs w:val="32"/>
        </w:rPr>
        <w:t>说明7</w:t>
      </w:r>
    </w:p>
    <w:p>
      <w:pPr>
        <w:spacing w:line="620" w:lineRule="exact"/>
        <w:jc w:val="center"/>
        <w:rPr>
          <w:rFonts w:ascii="宋体" w:hAnsi="宋体"/>
          <w:b/>
          <w:bCs/>
          <w:color w:val="000000" w:themeColor="text1"/>
          <w:sz w:val="36"/>
          <w:szCs w:val="36"/>
        </w:rPr>
      </w:pPr>
    </w:p>
    <w:p>
      <w:pPr>
        <w:spacing w:line="620" w:lineRule="exact"/>
        <w:jc w:val="center"/>
        <w:rPr>
          <w:rFonts w:ascii="黑体" w:hAnsi="黑体" w:eastAsia="黑体" w:cs="黑体"/>
          <w:bCs/>
          <w:color w:val="000000" w:themeColor="text1"/>
          <w:sz w:val="36"/>
        </w:rPr>
      </w:pPr>
      <w:r>
        <w:rPr>
          <w:rFonts w:hint="eastAsia" w:ascii="黑体" w:hAnsi="黑体" w:eastAsia="黑体" w:cs="黑体"/>
          <w:bCs/>
          <w:color w:val="000000" w:themeColor="text1"/>
          <w:sz w:val="36"/>
        </w:rPr>
        <w:t xml:space="preserve"> 关于202</w:t>
      </w:r>
      <w:r>
        <w:rPr>
          <w:rFonts w:hint="eastAsia" w:ascii="黑体" w:hAnsi="黑体" w:eastAsia="黑体" w:cs="黑体"/>
          <w:bCs/>
          <w:color w:val="000000" w:themeColor="text1"/>
          <w:sz w:val="36"/>
          <w:lang w:val="en-US" w:eastAsia="zh-CN"/>
        </w:rPr>
        <w:t>3</w:t>
      </w:r>
      <w:r>
        <w:rPr>
          <w:rFonts w:hint="eastAsia" w:ascii="黑体" w:hAnsi="黑体" w:eastAsia="黑体" w:cs="黑体"/>
          <w:bCs/>
          <w:color w:val="000000" w:themeColor="text1"/>
          <w:sz w:val="36"/>
        </w:rPr>
        <w:t>年社会保险基金预算执行情况的说明</w:t>
      </w: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ab/>
      </w:r>
    </w:p>
    <w:p>
      <w:pPr>
        <w:ind w:firstLine="480" w:firstLineChars="15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社会保险基金预算，是对社会保险缴款、一般公共预算安排和其他方式筹集的资金，专项用于社会保险的收支预算。</w:t>
      </w:r>
      <w:r>
        <w:rPr>
          <w:rFonts w:hint="eastAsia" w:ascii="Times New Roman" w:hAnsi="Times New Roman" w:eastAsia="仿宋_GB2312" w:cs="Times New Roman"/>
          <w:color w:val="000000" w:themeColor="text1"/>
          <w:sz w:val="32"/>
          <w:szCs w:val="32"/>
        </w:rPr>
        <w:tab/>
      </w:r>
      <w:r>
        <w:rPr>
          <w:rFonts w:hint="eastAsia" w:ascii="黑体" w:hAnsi="黑体" w:eastAsia="黑体" w:cs="Times New Roman"/>
          <w:color w:val="000000" w:themeColor="text1"/>
          <w:sz w:val="32"/>
          <w:szCs w:val="32"/>
        </w:rPr>
        <w:t xml:space="preserve"> 202</w:t>
      </w:r>
      <w:r>
        <w:rPr>
          <w:rFonts w:hint="eastAsia" w:ascii="黑体" w:hAnsi="黑体" w:eastAsia="黑体" w:cs="Times New Roman"/>
          <w:color w:val="000000" w:themeColor="text1"/>
          <w:sz w:val="32"/>
          <w:szCs w:val="32"/>
          <w:lang w:val="en-US" w:eastAsia="zh-CN"/>
        </w:rPr>
        <w:t>3</w:t>
      </w:r>
      <w:r>
        <w:rPr>
          <w:rFonts w:hint="eastAsia" w:ascii="黑体" w:hAnsi="黑体" w:eastAsia="黑体" w:cs="Times New Roman"/>
          <w:color w:val="000000" w:themeColor="text1"/>
          <w:sz w:val="32"/>
          <w:szCs w:val="32"/>
        </w:rPr>
        <w:t>年社会保险基金预算执行情况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楷体" w:hAnsi="楷体" w:eastAsia="楷体" w:cs="Times New Roman"/>
          <w:bCs/>
          <w:color w:val="000000" w:themeColor="text1"/>
          <w:spacing w:val="8"/>
          <w:sz w:val="32"/>
          <w:szCs w:val="32"/>
        </w:rPr>
        <w:t>一、收入预算执行情况</w:t>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2</w:t>
      </w:r>
      <w:r>
        <w:rPr>
          <w:rFonts w:hint="eastAsia" w:ascii="Times New Roman" w:hAnsi="Times New Roman" w:eastAsia="仿宋_GB2312" w:cs="Times New Roman"/>
          <w:color w:val="000000" w:themeColor="text1"/>
          <w:sz w:val="32"/>
          <w:szCs w:val="32"/>
        </w:rPr>
        <w:t>023年社会保险基金收入25085.78万元，其中：城乡居民基本养老保险基金收入1933.59万元，机关事业单位基本养老保险基金收入23152.19万元。</w:t>
      </w: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二、</w:t>
      </w:r>
      <w:r>
        <w:rPr>
          <w:rFonts w:hint="eastAsia" w:ascii="楷体" w:hAnsi="楷体" w:eastAsia="楷体" w:cs="Times New Roman"/>
          <w:bCs/>
          <w:color w:val="000000" w:themeColor="text1"/>
          <w:spacing w:val="8"/>
          <w:sz w:val="32"/>
          <w:szCs w:val="32"/>
        </w:rPr>
        <w:t>支出预算执行情况</w:t>
      </w:r>
      <w:r>
        <w:rPr>
          <w:rFonts w:hint="eastAsia" w:ascii="楷体" w:hAnsi="楷体" w:eastAsia="楷体"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2023年</w:t>
      </w:r>
      <w:r>
        <w:rPr>
          <w:rFonts w:hint="eastAsia" w:ascii="Times New Roman" w:hAnsi="Times New Roman" w:eastAsia="仿宋_GB2312" w:cs="Times New Roman"/>
          <w:color w:val="000000" w:themeColor="text1"/>
          <w:sz w:val="32"/>
          <w:szCs w:val="32"/>
        </w:rPr>
        <w:t>社会保险基金支出27754.3万元，其中：城乡居民基本养老保险基金支出1365.29万元，机关事业单位基本养老保险基金支出26389.01万元。</w:t>
      </w:r>
    </w:p>
    <w:p>
      <w:pPr>
        <w:ind w:firstLine="630"/>
        <w:rPr>
          <w:rFonts w:ascii="Times New Roman" w:hAnsi="Times New Roman" w:eastAsia="仿宋_GB2312" w:cs="Times New Roman"/>
          <w:color w:val="000000" w:themeColor="text1"/>
          <w:sz w:val="32"/>
          <w:szCs w:val="32"/>
        </w:rPr>
      </w:pPr>
    </w:p>
    <w:p>
      <w:pPr>
        <w:spacing w:line="620" w:lineRule="exact"/>
        <w:rPr>
          <w:rFonts w:ascii="黑体" w:hAnsi="宋体" w:eastAsia="黑体"/>
          <w:color w:val="000000" w:themeColor="text1"/>
          <w:sz w:val="32"/>
          <w:szCs w:val="32"/>
        </w:rPr>
      </w:pPr>
    </w:p>
    <w:p>
      <w:pPr>
        <w:spacing w:line="620" w:lineRule="exact"/>
        <w:rPr>
          <w:rFonts w:ascii="黑体" w:hAnsi="宋体" w:eastAsia="黑体"/>
          <w:color w:val="000000" w:themeColor="text1"/>
          <w:sz w:val="32"/>
          <w:szCs w:val="32"/>
        </w:rPr>
      </w:pPr>
    </w:p>
    <w:p>
      <w:pPr>
        <w:spacing w:line="620" w:lineRule="exact"/>
        <w:rPr>
          <w:rFonts w:ascii="黑体" w:hAnsi="宋体" w:eastAsia="黑体"/>
          <w:color w:val="000000" w:themeColor="text1"/>
          <w:sz w:val="32"/>
          <w:szCs w:val="32"/>
        </w:rPr>
      </w:pPr>
    </w:p>
    <w:p>
      <w:pPr>
        <w:spacing w:line="620" w:lineRule="exact"/>
        <w:rPr>
          <w:rFonts w:ascii="黑体" w:hAnsi="宋体" w:eastAsia="黑体"/>
          <w:color w:val="000000" w:themeColor="text1"/>
          <w:sz w:val="32"/>
          <w:szCs w:val="32"/>
        </w:rPr>
      </w:pPr>
    </w:p>
    <w:p>
      <w:pPr>
        <w:pStyle w:val="2"/>
        <w:rPr>
          <w:rFonts w:ascii="黑体" w:hAnsi="宋体" w:eastAsia="黑体"/>
          <w:color w:val="000000" w:themeColor="text1"/>
          <w:sz w:val="32"/>
          <w:szCs w:val="32"/>
        </w:rPr>
      </w:pPr>
    </w:p>
    <w:p>
      <w:pPr>
        <w:pStyle w:val="3"/>
      </w:pPr>
    </w:p>
    <w:p>
      <w:pPr>
        <w:spacing w:line="620" w:lineRule="exact"/>
        <w:rPr>
          <w:rFonts w:ascii="黑体" w:hAnsi="宋体" w:eastAsia="黑体"/>
          <w:color w:val="000000" w:themeColor="text1"/>
          <w:sz w:val="32"/>
          <w:szCs w:val="32"/>
        </w:rPr>
      </w:pPr>
      <w:r>
        <w:rPr>
          <w:rFonts w:hint="eastAsia" w:ascii="黑体" w:hAnsi="宋体" w:eastAsia="黑体"/>
          <w:color w:val="000000" w:themeColor="text1"/>
          <w:sz w:val="32"/>
          <w:szCs w:val="32"/>
        </w:rPr>
        <w:t>说明8</w:t>
      </w:r>
    </w:p>
    <w:p>
      <w:pPr>
        <w:spacing w:line="620" w:lineRule="exact"/>
        <w:rPr>
          <w:rFonts w:ascii="黑体" w:hAnsi="宋体" w:eastAsia="黑体"/>
          <w:color w:val="000000" w:themeColor="text1"/>
          <w:sz w:val="32"/>
          <w:szCs w:val="32"/>
        </w:rPr>
      </w:pPr>
    </w:p>
    <w:p>
      <w:pPr>
        <w:spacing w:line="620" w:lineRule="exact"/>
        <w:jc w:val="center"/>
        <w:rPr>
          <w:rFonts w:ascii="黑体" w:hAnsi="黑体" w:eastAsia="黑体" w:cs="黑体"/>
          <w:bCs/>
          <w:color w:val="000000" w:themeColor="text1"/>
          <w:sz w:val="36"/>
          <w:szCs w:val="36"/>
        </w:rPr>
      </w:pPr>
      <w:r>
        <w:rPr>
          <w:rFonts w:hint="eastAsia" w:ascii="黑体" w:hAnsi="黑体" w:eastAsia="黑体" w:cs="黑体"/>
          <w:bCs/>
          <w:color w:val="000000" w:themeColor="text1"/>
          <w:sz w:val="36"/>
          <w:szCs w:val="36"/>
        </w:rPr>
        <w:t>关于202</w:t>
      </w:r>
      <w:r>
        <w:rPr>
          <w:rFonts w:hint="eastAsia" w:ascii="黑体" w:hAnsi="黑体" w:eastAsia="黑体" w:cs="黑体"/>
          <w:bCs/>
          <w:color w:val="000000" w:themeColor="text1"/>
          <w:sz w:val="36"/>
          <w:szCs w:val="36"/>
          <w:lang w:val="en-US" w:eastAsia="zh-CN"/>
        </w:rPr>
        <w:t>4</w:t>
      </w:r>
      <w:r>
        <w:rPr>
          <w:rFonts w:hint="eastAsia" w:ascii="黑体" w:hAnsi="黑体" w:eastAsia="黑体" w:cs="黑体"/>
          <w:bCs/>
          <w:color w:val="000000" w:themeColor="text1"/>
          <w:sz w:val="36"/>
          <w:szCs w:val="36"/>
        </w:rPr>
        <w:t>年社会保险基金预算安排情况的说明</w:t>
      </w:r>
    </w:p>
    <w:p>
      <w:pPr>
        <w:ind w:firstLine="630"/>
        <w:rPr>
          <w:rFonts w:ascii="Times New Roman" w:hAnsi="Times New Roman" w:eastAsia="仿宋_GB2312" w:cs="Times New Roman"/>
          <w:color w:val="000000" w:themeColor="text1"/>
          <w:sz w:val="32"/>
          <w:szCs w:val="32"/>
        </w:rPr>
      </w:pPr>
    </w:p>
    <w:p>
      <w:pPr>
        <w:ind w:firstLine="63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4</w:t>
      </w:r>
      <w:r>
        <w:rPr>
          <w:rFonts w:hint="eastAsia" w:ascii="黑体" w:hAnsi="黑体" w:eastAsia="黑体" w:cs="Times New Roman"/>
          <w:color w:val="000000" w:themeColor="text1"/>
          <w:sz w:val="32"/>
          <w:szCs w:val="32"/>
        </w:rPr>
        <w:t>年社会保险基金预算安排情况</w:t>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ab/>
      </w:r>
      <w:r>
        <w:rPr>
          <w:rFonts w:hint="eastAsia" w:ascii="楷体" w:hAnsi="楷体" w:eastAsia="楷体" w:cs="Times New Roman"/>
          <w:bCs/>
          <w:color w:val="000000" w:themeColor="text1"/>
          <w:spacing w:val="8"/>
          <w:sz w:val="32"/>
          <w:szCs w:val="32"/>
        </w:rPr>
        <w:t>一、收入预算安排情况</w:t>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楷体_GB2312"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24" w:firstLineChars="195"/>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2024年社会保险基金收入预算29069.02万元，其中：城乡居民基本养老保险基金收入2129.98万元，机关事业单位基本养老保险基金收入26939.04万元。</w:t>
      </w:r>
    </w:p>
    <w:p>
      <w:pPr>
        <w:ind w:firstLine="672" w:firstLineChars="200"/>
        <w:rPr>
          <w:rFonts w:ascii="Times New Roman" w:hAnsi="Times New Roman" w:eastAsia="仿宋_GB2312" w:cs="Times New Roman"/>
          <w:color w:val="000000" w:themeColor="text1"/>
          <w:sz w:val="32"/>
          <w:szCs w:val="32"/>
        </w:rPr>
      </w:pPr>
      <w:r>
        <w:rPr>
          <w:rFonts w:hint="eastAsia" w:ascii="楷体" w:hAnsi="楷体" w:eastAsia="楷体" w:cs="Times New Roman"/>
          <w:bCs/>
          <w:color w:val="000000" w:themeColor="text1"/>
          <w:spacing w:val="8"/>
          <w:sz w:val="32"/>
          <w:szCs w:val="32"/>
        </w:rPr>
        <w:t>二、支出预算安排情况</w:t>
      </w:r>
      <w:r>
        <w:rPr>
          <w:rFonts w:hint="eastAsia" w:ascii="楷体" w:hAnsi="楷体" w:eastAsia="楷体" w:cs="Times New Roman"/>
          <w:bCs/>
          <w:color w:val="000000" w:themeColor="text1"/>
          <w:spacing w:val="8"/>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2024年</w:t>
      </w:r>
      <w:r>
        <w:rPr>
          <w:rFonts w:hint="eastAsia" w:ascii="Times New Roman" w:hAnsi="Times New Roman" w:eastAsia="仿宋_GB2312" w:cs="Times New Roman"/>
          <w:color w:val="000000" w:themeColor="text1"/>
          <w:sz w:val="32"/>
          <w:szCs w:val="32"/>
        </w:rPr>
        <w:t>社会保险基金预算支出27389.18万元，其中：城乡居民基本养老保险基金支出1434.76万元，机关事业单位基本养老保险基金支出25954.42万元。</w:t>
      </w: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ab/>
      </w:r>
    </w:p>
    <w:p>
      <w:pPr>
        <w:ind w:firstLine="630"/>
        <w:rPr>
          <w:rFonts w:ascii="Times New Roman" w:hAnsi="Times New Roman" w:eastAsia="仿宋_GB2312" w:cs="Times New Roman"/>
          <w:color w:val="000000" w:themeColor="text1"/>
          <w:sz w:val="32"/>
          <w:szCs w:val="32"/>
        </w:rPr>
      </w:pPr>
    </w:p>
    <w:p>
      <w:pPr>
        <w:ind w:firstLine="630"/>
        <w:rPr>
          <w:rFonts w:ascii="Times New Roman" w:hAnsi="Times New Roman" w:eastAsia="仿宋_GB2312" w:cs="Times New Roman"/>
          <w:color w:val="000000" w:themeColor="text1"/>
          <w:sz w:val="32"/>
          <w:szCs w:val="32"/>
        </w:rPr>
      </w:pPr>
    </w:p>
    <w:p>
      <w:pPr>
        <w:spacing w:line="620" w:lineRule="exact"/>
        <w:rPr>
          <w:rFonts w:ascii="黑体" w:eastAsia="黑体"/>
          <w:color w:val="000000" w:themeColor="text1"/>
          <w:sz w:val="32"/>
          <w:szCs w:val="32"/>
        </w:rPr>
      </w:pPr>
    </w:p>
    <w:p>
      <w:pPr>
        <w:spacing w:line="620" w:lineRule="exact"/>
        <w:rPr>
          <w:rFonts w:ascii="黑体" w:eastAsia="黑体"/>
          <w:color w:val="000000" w:themeColor="text1"/>
          <w:sz w:val="32"/>
          <w:szCs w:val="32"/>
        </w:rPr>
      </w:pPr>
    </w:p>
    <w:p>
      <w:pPr>
        <w:spacing w:line="620" w:lineRule="exact"/>
        <w:rPr>
          <w:rFonts w:ascii="黑体" w:eastAsia="黑体"/>
          <w:color w:val="000000" w:themeColor="text1"/>
          <w:sz w:val="32"/>
          <w:szCs w:val="32"/>
        </w:rPr>
      </w:pPr>
    </w:p>
    <w:p>
      <w:pPr>
        <w:spacing w:line="620" w:lineRule="exact"/>
        <w:rPr>
          <w:rFonts w:ascii="黑体" w:eastAsia="黑体"/>
          <w:color w:val="000000" w:themeColor="text1"/>
          <w:sz w:val="32"/>
          <w:szCs w:val="32"/>
        </w:rPr>
      </w:pPr>
    </w:p>
    <w:p>
      <w:pPr>
        <w:spacing w:line="620" w:lineRule="exact"/>
        <w:rPr>
          <w:rFonts w:ascii="黑体" w:eastAsia="黑体"/>
          <w:color w:val="000000" w:themeColor="text1"/>
          <w:sz w:val="32"/>
          <w:szCs w:val="32"/>
        </w:rPr>
      </w:pPr>
    </w:p>
    <w:p>
      <w:pPr>
        <w:spacing w:line="620" w:lineRule="exact"/>
        <w:rPr>
          <w:rFonts w:ascii="黑体" w:eastAsia="黑体"/>
          <w:color w:val="000000" w:themeColor="text1"/>
          <w:sz w:val="32"/>
          <w:szCs w:val="32"/>
        </w:rPr>
      </w:pPr>
      <w:r>
        <w:rPr>
          <w:rFonts w:hint="eastAsia" w:ascii="黑体" w:eastAsia="黑体"/>
          <w:color w:val="000000" w:themeColor="text1"/>
          <w:sz w:val="32"/>
          <w:szCs w:val="32"/>
        </w:rPr>
        <w:t>说明9</w:t>
      </w:r>
    </w:p>
    <w:p>
      <w:pPr>
        <w:ind w:firstLine="630"/>
        <w:rPr>
          <w:rFonts w:ascii="黑体" w:hAnsi="黑体" w:eastAsia="黑体" w:cs="Times New Roman"/>
          <w:color w:val="000000" w:themeColor="text1"/>
          <w:sz w:val="32"/>
          <w:szCs w:val="32"/>
        </w:rPr>
      </w:pPr>
    </w:p>
    <w:p>
      <w:pPr>
        <w:ind w:firstLine="630"/>
        <w:jc w:val="center"/>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报告名词解释</w:t>
      </w:r>
    </w:p>
    <w:p>
      <w:pPr>
        <w:ind w:firstLine="630"/>
        <w:rPr>
          <w:rFonts w:hint="eastAsia"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b/>
          <w:color w:val="000000" w:themeColor="text1"/>
          <w:sz w:val="32"/>
          <w:szCs w:val="32"/>
        </w:rPr>
        <w:t>陕西财政云：</w:t>
      </w:r>
      <w:r>
        <w:rPr>
          <w:rFonts w:hint="eastAsia" w:ascii="Times New Roman" w:hAnsi="Times New Roman" w:eastAsia="仿宋_GB2312" w:cs="Times New Roman"/>
          <w:b w:val="0"/>
          <w:bCs/>
          <w:color w:val="000000" w:themeColor="text1"/>
          <w:sz w:val="32"/>
          <w:szCs w:val="32"/>
        </w:rPr>
        <w:t>陕西财政云采用全面云化模式，实现各区域基础设施云化+财政应用微服务化，采取大应用拆分小应用，快速迭代、特续交付、资源弹性分配，快速响应业务需求，充分发挥云的优势，彻底解决长期困扰财政部门的数据标准庞杂，业务流程脱节、信息资源分散、数据无法共享问题。</w:t>
      </w:r>
    </w:p>
    <w:p>
      <w:pPr>
        <w:ind w:firstLine="630"/>
        <w:rPr>
          <w:rFonts w:hint="eastAsia"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b/>
          <w:color w:val="000000" w:themeColor="text1"/>
          <w:sz w:val="32"/>
          <w:szCs w:val="32"/>
        </w:rPr>
        <w:t>预算绩效管理：</w:t>
      </w:r>
      <w:r>
        <w:rPr>
          <w:rFonts w:hint="eastAsia" w:ascii="Times New Roman" w:hAnsi="Times New Roman" w:eastAsia="仿宋_GB2312" w:cs="Times New Roman"/>
          <w:b w:val="0"/>
          <w:bCs/>
          <w:color w:val="000000" w:themeColor="text1"/>
          <w:sz w:val="32"/>
          <w:szCs w:val="32"/>
        </w:rPr>
        <w:t>预算绩效管理是以“预算”为对象开展的绩效管理，也就是将绩效管理理念和绩效管理方法贯穿于预算编制、执行、监督的全过程，并实现与预算管理有机融合的一种预算管理模式。预算绩效管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w:t>
      </w:r>
    </w:p>
    <w:p>
      <w:pPr>
        <w:ind w:firstLine="630"/>
        <w:rPr>
          <w:rFonts w:hint="eastAsia" w:ascii="Times New Roman" w:hAnsi="Times New Roman" w:eastAsia="仿宋_GB2312" w:cs="Times New Roman"/>
          <w:b/>
          <w:color w:val="000000" w:themeColor="text1"/>
          <w:sz w:val="32"/>
          <w:szCs w:val="32"/>
        </w:rPr>
      </w:pPr>
      <w:r>
        <w:rPr>
          <w:rFonts w:hint="eastAsia" w:ascii="Times New Roman" w:hAnsi="Times New Roman" w:eastAsia="仿宋_GB2312" w:cs="Times New Roman"/>
          <w:b/>
          <w:color w:val="000000" w:themeColor="text1"/>
          <w:sz w:val="32"/>
          <w:szCs w:val="32"/>
        </w:rPr>
        <w:t>政府专项债券：</w:t>
      </w:r>
      <w:r>
        <w:rPr>
          <w:rFonts w:hint="eastAsia" w:ascii="Times New Roman" w:hAnsi="Times New Roman" w:eastAsia="仿宋_GB2312" w:cs="Times New Roman"/>
          <w:b w:val="0"/>
          <w:bCs/>
          <w:color w:val="000000" w:themeColor="text1"/>
          <w:sz w:val="32"/>
          <w:szCs w:val="32"/>
        </w:rPr>
        <w:t>地方政府专项债券指省级政府为有一定收益的公益性项目发行的、以公益性项目对应的政府性基金收入或专项收入作为还本付息资金来源的政府债券。</w:t>
      </w:r>
    </w:p>
    <w:p>
      <w:pPr>
        <w:ind w:firstLine="630"/>
        <w:rPr>
          <w:rFonts w:hint="eastAsia" w:ascii="Times New Roman" w:hAnsi="Times New Roman" w:eastAsia="仿宋_GB2312" w:cs="Times New Roman"/>
          <w:b/>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E01A"/>
    <w:multiLevelType w:val="singleLevel"/>
    <w:tmpl w:val="89ECE0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VkYjNkOWIzYjQ4NjQzZTBiOGU1ZDNjODY1YzhmNmIifQ=="/>
  </w:docVars>
  <w:rsids>
    <w:rsidRoot w:val="009670D9"/>
    <w:rsid w:val="00020525"/>
    <w:rsid w:val="000B3956"/>
    <w:rsid w:val="00165971"/>
    <w:rsid w:val="001F3E45"/>
    <w:rsid w:val="002631A6"/>
    <w:rsid w:val="002A443A"/>
    <w:rsid w:val="003640EF"/>
    <w:rsid w:val="00380EC6"/>
    <w:rsid w:val="003A632E"/>
    <w:rsid w:val="003B07CB"/>
    <w:rsid w:val="00406E72"/>
    <w:rsid w:val="004D7C50"/>
    <w:rsid w:val="005043EB"/>
    <w:rsid w:val="00602B18"/>
    <w:rsid w:val="006039DD"/>
    <w:rsid w:val="006B36F5"/>
    <w:rsid w:val="00762B54"/>
    <w:rsid w:val="00794C22"/>
    <w:rsid w:val="00802283"/>
    <w:rsid w:val="008B4CC9"/>
    <w:rsid w:val="008D1089"/>
    <w:rsid w:val="008F0489"/>
    <w:rsid w:val="00930264"/>
    <w:rsid w:val="009655AF"/>
    <w:rsid w:val="009670D9"/>
    <w:rsid w:val="009C534F"/>
    <w:rsid w:val="009C5CB1"/>
    <w:rsid w:val="009E0940"/>
    <w:rsid w:val="00A43C51"/>
    <w:rsid w:val="00AE5FB0"/>
    <w:rsid w:val="00B717E8"/>
    <w:rsid w:val="00CE43FE"/>
    <w:rsid w:val="00D03B5C"/>
    <w:rsid w:val="00D5059C"/>
    <w:rsid w:val="00D92E3B"/>
    <w:rsid w:val="00E04427"/>
    <w:rsid w:val="00E32A04"/>
    <w:rsid w:val="00E97788"/>
    <w:rsid w:val="00F31202"/>
    <w:rsid w:val="00F4738B"/>
    <w:rsid w:val="00F862F9"/>
    <w:rsid w:val="07634BEE"/>
    <w:rsid w:val="13E6725F"/>
    <w:rsid w:val="19C20F14"/>
    <w:rsid w:val="1D824701"/>
    <w:rsid w:val="2B844213"/>
    <w:rsid w:val="38EE79E0"/>
    <w:rsid w:val="43F14876"/>
    <w:rsid w:val="48A47619"/>
    <w:rsid w:val="4C130790"/>
    <w:rsid w:val="5E34084A"/>
    <w:rsid w:val="6D30629C"/>
    <w:rsid w:val="6E611DCF"/>
    <w:rsid w:val="7D281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sz w:val="16"/>
      <w:szCs w:val="16"/>
    </w:rPr>
  </w:style>
  <w:style w:type="paragraph" w:customStyle="1" w:styleId="3">
    <w:name w:val="Char1"/>
    <w:basedOn w:val="1"/>
    <w:autoRedefine/>
    <w:qFormat/>
    <w:uiPriority w:val="0"/>
    <w:pPr>
      <w:tabs>
        <w:tab w:val="left" w:pos="840"/>
      </w:tabs>
      <w:ind w:left="840" w:hanging="420"/>
    </w:pPr>
    <w:rPr>
      <w:sz w:val="24"/>
      <w:szCs w:val="3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paragraph" w:styleId="9">
    <w:name w:val="List Paragraph"/>
    <w:basedOn w:val="1"/>
    <w:autoRedefine/>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690</Words>
  <Characters>3936</Characters>
  <Lines>32</Lines>
  <Paragraphs>9</Paragraphs>
  <TotalTime>31</TotalTime>
  <ScaleCrop>false</ScaleCrop>
  <LinksUpToDate>false</LinksUpToDate>
  <CharactersWithSpaces>4617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2020-04-26T07:25:00Z</dcterms:created>
  <dc:creator>lenovo</dc:creator>
  <cp:lastModifiedBy>笨笨</cp:lastModifiedBy>
  <dcterms:modified xsi:type="dcterms:W3CDTF">2024-04-22T07:32:58Z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67DDED8888654C78B5EE5017BBB0562A</vt:lpwstr>
  </property>
</Properties>
</file>